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B3D61" w14:textId="77777777" w:rsidR="006C1E34" w:rsidRDefault="00D76F27">
      <w:pPr>
        <w:pStyle w:val="Nagwek1"/>
        <w:spacing w:before="400" w:after="120" w:line="276" w:lineRule="auto"/>
        <w:jc w:val="right"/>
        <w:rPr>
          <w:rFonts w:ascii="Arial" w:eastAsia="Arial" w:hAnsi="Arial" w:cs="Arial"/>
          <w:color w:val="222222"/>
          <w:sz w:val="22"/>
          <w:szCs w:val="22"/>
        </w:rPr>
      </w:pPr>
      <w:r>
        <w:rPr>
          <w:rFonts w:ascii="Arial" w:eastAsia="Arial" w:hAnsi="Arial" w:cs="Arial"/>
          <w:color w:val="222222"/>
          <w:sz w:val="22"/>
          <w:szCs w:val="22"/>
        </w:rPr>
        <w:t>Poznań, 25.05.2020</w:t>
      </w:r>
    </w:p>
    <w:p w14:paraId="65FB3D62" w14:textId="77777777" w:rsidR="006C1E34" w:rsidRDefault="00D76F27">
      <w:pPr>
        <w:pStyle w:val="Nagwek1"/>
        <w:spacing w:before="400" w:after="120" w:line="276" w:lineRule="auto"/>
        <w:rPr>
          <w:rFonts w:ascii="Arial" w:eastAsia="Arial" w:hAnsi="Arial" w:cs="Arial"/>
          <w:color w:val="000000"/>
          <w:sz w:val="28"/>
          <w:szCs w:val="28"/>
        </w:rPr>
      </w:pPr>
      <w:r>
        <w:rPr>
          <w:rFonts w:ascii="Arial" w:eastAsia="Arial" w:hAnsi="Arial" w:cs="Arial"/>
          <w:color w:val="000000"/>
          <w:sz w:val="28"/>
          <w:szCs w:val="28"/>
        </w:rPr>
        <w:t>Informacja prasowa</w:t>
      </w:r>
    </w:p>
    <w:p w14:paraId="65FB3D63" w14:textId="77777777" w:rsidR="006C1E34" w:rsidRDefault="00D76F27">
      <w:pPr>
        <w:jc w:val="center"/>
        <w:rPr>
          <w:b/>
          <w:color w:val="222222"/>
          <w:sz w:val="32"/>
          <w:szCs w:val="32"/>
          <w:highlight w:val="white"/>
        </w:rPr>
      </w:pPr>
      <w:r>
        <w:rPr>
          <w:b/>
          <w:color w:val="222222"/>
          <w:sz w:val="32"/>
          <w:szCs w:val="32"/>
          <w:highlight w:val="white"/>
        </w:rPr>
        <w:t>Ranking Dzielnic Otodom 2020</w:t>
      </w:r>
      <w:r>
        <w:rPr>
          <w:b/>
          <w:color w:val="222222"/>
          <w:sz w:val="32"/>
          <w:szCs w:val="32"/>
          <w:highlight w:val="white"/>
        </w:rPr>
        <w:br/>
        <w:t>– RELACJE SĄSIEDZKIE</w:t>
      </w:r>
    </w:p>
    <w:p w14:paraId="65FB3D64" w14:textId="77777777" w:rsidR="006C1E34" w:rsidRDefault="00D76F27">
      <w:pPr>
        <w:jc w:val="center"/>
        <w:rPr>
          <w:b/>
          <w:color w:val="222222"/>
          <w:sz w:val="32"/>
          <w:szCs w:val="32"/>
          <w:highlight w:val="white"/>
        </w:rPr>
      </w:pPr>
      <w:bookmarkStart w:id="0" w:name="_heading=h.gjdgxs" w:colFirst="0" w:colLast="0"/>
      <w:bookmarkEnd w:id="0"/>
      <w:r>
        <w:rPr>
          <w:b/>
          <w:color w:val="222222"/>
          <w:sz w:val="32"/>
          <w:szCs w:val="32"/>
          <w:highlight w:val="white"/>
        </w:rPr>
        <w:t>Szczecin ma najlepszych sąsiadów w całej Polsce!!!</w:t>
      </w:r>
    </w:p>
    <w:p w14:paraId="65FB3D65" w14:textId="77777777" w:rsidR="006C1E34" w:rsidRDefault="00D76F27">
      <w:pPr>
        <w:spacing w:line="240" w:lineRule="auto"/>
        <w:jc w:val="both"/>
        <w:rPr>
          <w:b/>
          <w:color w:val="222222"/>
          <w:highlight w:val="white"/>
        </w:rPr>
      </w:pPr>
      <w:r>
        <w:rPr>
          <w:b/>
          <w:color w:val="222222"/>
          <w:highlight w:val="white"/>
        </w:rPr>
        <w:t xml:space="preserve">Od 2000 roku, w ostatni wtorek maja (w tym roku 26.05), z inicjatywy </w:t>
      </w:r>
      <w:proofErr w:type="spellStart"/>
      <w:r>
        <w:rPr>
          <w:b/>
          <w:color w:val="222222"/>
          <w:highlight w:val="white"/>
        </w:rPr>
        <w:t>European</w:t>
      </w:r>
      <w:proofErr w:type="spellEnd"/>
      <w:r>
        <w:rPr>
          <w:b/>
          <w:color w:val="222222"/>
          <w:highlight w:val="white"/>
        </w:rPr>
        <w:t xml:space="preserve"> </w:t>
      </w:r>
      <w:proofErr w:type="spellStart"/>
      <w:r>
        <w:rPr>
          <w:b/>
          <w:color w:val="222222"/>
          <w:highlight w:val="white"/>
        </w:rPr>
        <w:t>Federation</w:t>
      </w:r>
      <w:proofErr w:type="spellEnd"/>
      <w:r>
        <w:rPr>
          <w:b/>
          <w:color w:val="222222"/>
          <w:highlight w:val="white"/>
        </w:rPr>
        <w:t xml:space="preserve"> of </w:t>
      </w:r>
      <w:proofErr w:type="spellStart"/>
      <w:r>
        <w:rPr>
          <w:b/>
          <w:color w:val="222222"/>
          <w:highlight w:val="white"/>
        </w:rPr>
        <w:t>Local</w:t>
      </w:r>
      <w:proofErr w:type="spellEnd"/>
      <w:r>
        <w:rPr>
          <w:b/>
          <w:color w:val="222222"/>
          <w:highlight w:val="white"/>
        </w:rPr>
        <w:t xml:space="preserve"> </w:t>
      </w:r>
      <w:proofErr w:type="spellStart"/>
      <w:r>
        <w:rPr>
          <w:b/>
          <w:color w:val="222222"/>
          <w:highlight w:val="white"/>
        </w:rPr>
        <w:t>Solidarity</w:t>
      </w:r>
      <w:proofErr w:type="spellEnd"/>
      <w:r>
        <w:rPr>
          <w:b/>
          <w:color w:val="222222"/>
          <w:highlight w:val="white"/>
        </w:rPr>
        <w:t xml:space="preserve"> (EFLS, Europejskiej Federacji dla Lokalnej Solidarności), obchodzony jest Europejski Dzień Sąsiada. To okazja, żeby przedstawić wyniki Rankingu Dzielnic Otodom w kategorii “sąsiedzi”. W ostatnich tygodniach</w:t>
      </w:r>
      <w:r>
        <w:t xml:space="preserve"> </w:t>
      </w:r>
      <w:r>
        <w:rPr>
          <w:b/>
          <w:color w:val="222222"/>
          <w:highlight w:val="white"/>
        </w:rPr>
        <w:t>jeszcze bardziej mogliśmy przekonać się o tym jak nam się żyje z osobami z sąsiedztwa, czy są uprzejmi, pomocni i przyjaźnie nastawieni, czy wręcz przeciwnie złośliwi i nie liczą się z innymi lokatorami. Otodom, najpopularniejszy serwis nieruchomości, zapytał Polaków jak oceniają swoje relacje z sąsiadami. Na całkowity wynik dzielnicy składały się odpowiedzi na trzy pytania</w:t>
      </w:r>
      <w:r>
        <w:t>:</w:t>
      </w:r>
      <w:r>
        <w:rPr>
          <w:b/>
          <w:color w:val="222222"/>
          <w:highlight w:val="white"/>
        </w:rPr>
        <w:t xml:space="preserve"> o osobiste więzi,</w:t>
      </w:r>
      <w:r>
        <w:t xml:space="preserve"> </w:t>
      </w:r>
      <w:r>
        <w:rPr>
          <w:b/>
          <w:color w:val="222222"/>
          <w:highlight w:val="white"/>
        </w:rPr>
        <w:t xml:space="preserve">uprzejmość i przyjazne nastawienie oraz o sposób życia sąsiadów. Przekonajmy się zatem co na ten temat mają do powiedzenia mieszkańcy 12 miast Polski. </w:t>
      </w:r>
    </w:p>
    <w:p w14:paraId="65FB3D66" w14:textId="77777777" w:rsidR="006C1E34" w:rsidRDefault="00D76F27">
      <w:pPr>
        <w:spacing w:line="240" w:lineRule="auto"/>
        <w:jc w:val="both"/>
      </w:pPr>
      <w:r>
        <w:t xml:space="preserve">Dojazd do centrum, dostęp do szkół, bliskość terenów zielonych – przed zakupem mieszkania czy domu wszystko to można łatwo sprawdzić. Inaczej jest z sąsiadami. Na kogo trafimy? Czy uda nam się z nimi zaprzyjaźnić? Czy nie będą uciążliwi? To zawsze wielka niewiadoma. </w:t>
      </w:r>
    </w:p>
    <w:p w14:paraId="65FB3D67" w14:textId="77777777" w:rsidR="006C1E34" w:rsidRDefault="00D76F27">
      <w:pPr>
        <w:spacing w:line="240" w:lineRule="auto"/>
        <w:jc w:val="both"/>
      </w:pPr>
      <w:r>
        <w:t xml:space="preserve">Nikogo chyba nie trzeba przekonywać, jak ważne są dobre relacje sąsiedzkie. Bywa, iż niepotrzebne waśnie w najbliższym nam otoczeniu mogą stać się przyczyną niepotrzebnego zdenerwowania, a w skrajnych przypadkach nawet… przeprowadzki. </w:t>
      </w:r>
    </w:p>
    <w:p w14:paraId="65FB3D68" w14:textId="77777777" w:rsidR="006C1E34" w:rsidRDefault="00D76F27">
      <w:pPr>
        <w:spacing w:line="240" w:lineRule="auto"/>
        <w:jc w:val="both"/>
        <w:rPr>
          <w:b/>
          <w:color w:val="222222"/>
          <w:sz w:val="28"/>
          <w:szCs w:val="28"/>
          <w:highlight w:val="white"/>
        </w:rPr>
      </w:pPr>
      <w:r>
        <w:rPr>
          <w:b/>
          <w:color w:val="222222"/>
          <w:sz w:val="28"/>
          <w:szCs w:val="28"/>
          <w:highlight w:val="white"/>
        </w:rPr>
        <w:t>Chcesz mieć dobrych sąsiadów – zamieszkaj w Szczecinie</w:t>
      </w:r>
    </w:p>
    <w:p w14:paraId="65FB3D69" w14:textId="77777777" w:rsidR="006C1E34" w:rsidRPr="00B64707" w:rsidRDefault="00D76F27">
      <w:pPr>
        <w:spacing w:after="120" w:line="240" w:lineRule="auto"/>
        <w:jc w:val="both"/>
      </w:pPr>
      <w:r w:rsidRPr="00B64707">
        <w:t>Jakimi jesteśmy sąsiadami? Okazuje się, że całkiem niezłymi – i to niezależnie od miasta. Różnice między poszczególnymi były minimalne. Najlepsze pod względem relacji z sąsiadami miasto zostało ocenione na 3,57, a najsłabsze – na 3,32.</w:t>
      </w:r>
    </w:p>
    <w:p w14:paraId="65FB3D6A" w14:textId="77777777" w:rsidR="006C1E34" w:rsidRDefault="00D76F27">
      <w:pPr>
        <w:spacing w:before="220" w:after="0" w:line="240" w:lineRule="auto"/>
        <w:jc w:val="both"/>
        <w:rPr>
          <w:color w:val="222222"/>
        </w:rPr>
      </w:pPr>
      <w:r>
        <w:rPr>
          <w:color w:val="222222"/>
          <w:highlight w:val="white"/>
        </w:rPr>
        <w:t>Według oceny mieszkańców najwyżej w Rankingu Dzielnic Otodom w kategorii relacji sąsiedzkich znalazł się Szczecin, w którym średnia ocena to 3,57 punktów. Aby zlokalizować gdzie szukać najlepszych sąsiadów poprosiliśmy mieszkańców 12 miast Polski: Białegostoku, Bydgoszczy, Gdyni, Gdańska, Katowic, Krakowa, Lublina, Łodzi, Poznania, Szczecina, Warszawy i Wrocławia</w:t>
      </w:r>
      <w:r>
        <w:rPr>
          <w:color w:val="222222"/>
        </w:rPr>
        <w:t>, żeby w skali od 1 do 5 ocenili:</w:t>
      </w:r>
    </w:p>
    <w:p w14:paraId="65FB3D6B" w14:textId="77777777" w:rsidR="006C1E34" w:rsidRDefault="00D76F27">
      <w:pPr>
        <w:numPr>
          <w:ilvl w:val="0"/>
          <w:numId w:val="1"/>
        </w:numPr>
        <w:pBdr>
          <w:top w:val="nil"/>
          <w:left w:val="nil"/>
          <w:bottom w:val="nil"/>
          <w:right w:val="nil"/>
          <w:between w:val="nil"/>
        </w:pBdr>
        <w:spacing w:after="0" w:line="240" w:lineRule="auto"/>
        <w:rPr>
          <w:color w:val="222222"/>
          <w:highlight w:val="white"/>
        </w:rPr>
      </w:pPr>
      <w:r>
        <w:rPr>
          <w:color w:val="222222"/>
          <w:highlight w:val="white"/>
        </w:rPr>
        <w:t>znam część sąsiadów osobiście, zdarza się nam też odwiedzać sąsiadów</w:t>
      </w:r>
    </w:p>
    <w:p w14:paraId="65FB3D6C" w14:textId="77777777" w:rsidR="006C1E34" w:rsidRDefault="00D76F27">
      <w:pPr>
        <w:numPr>
          <w:ilvl w:val="0"/>
          <w:numId w:val="1"/>
        </w:numPr>
        <w:pBdr>
          <w:top w:val="nil"/>
          <w:left w:val="nil"/>
          <w:bottom w:val="nil"/>
          <w:right w:val="nil"/>
          <w:between w:val="nil"/>
        </w:pBdr>
        <w:spacing w:after="0" w:line="240" w:lineRule="auto"/>
        <w:rPr>
          <w:color w:val="222222"/>
          <w:highlight w:val="white"/>
        </w:rPr>
      </w:pPr>
      <w:r>
        <w:rPr>
          <w:color w:val="222222"/>
          <w:highlight w:val="white"/>
        </w:rPr>
        <w:t>ludzie, którzy mieszkają w mojej okolicy są przyjaźni i uprzejmi</w:t>
      </w:r>
    </w:p>
    <w:p w14:paraId="65FB3D6E" w14:textId="18B0328F" w:rsidR="006C1E34" w:rsidRDefault="00D76F27" w:rsidP="00FF30AD">
      <w:pPr>
        <w:numPr>
          <w:ilvl w:val="0"/>
          <w:numId w:val="1"/>
        </w:numPr>
        <w:pBdr>
          <w:top w:val="nil"/>
          <w:left w:val="nil"/>
          <w:bottom w:val="nil"/>
          <w:right w:val="nil"/>
          <w:between w:val="nil"/>
        </w:pBdr>
        <w:spacing w:after="0" w:line="240" w:lineRule="auto"/>
        <w:rPr>
          <w:color w:val="222222"/>
          <w:highlight w:val="white"/>
        </w:rPr>
      </w:pPr>
      <w:r>
        <w:rPr>
          <w:color w:val="222222"/>
          <w:highlight w:val="white"/>
        </w:rPr>
        <w:t>nie przeszkadza mi sposób życia sąsiadów (imprezy/koszenie trawy etc.).</w:t>
      </w:r>
    </w:p>
    <w:p w14:paraId="3A905205" w14:textId="77777777" w:rsidR="00FF30AD" w:rsidRPr="00FF30AD" w:rsidRDefault="00FF30AD" w:rsidP="00FF30AD">
      <w:pPr>
        <w:pBdr>
          <w:top w:val="nil"/>
          <w:left w:val="nil"/>
          <w:bottom w:val="nil"/>
          <w:right w:val="nil"/>
          <w:between w:val="nil"/>
        </w:pBdr>
        <w:spacing w:after="0" w:line="240" w:lineRule="auto"/>
        <w:ind w:left="720"/>
        <w:rPr>
          <w:color w:val="222222"/>
          <w:highlight w:val="white"/>
        </w:rPr>
      </w:pPr>
    </w:p>
    <w:p w14:paraId="65FB3D6F" w14:textId="77777777" w:rsidR="006C1E34" w:rsidRDefault="00D76F27">
      <w:pPr>
        <w:spacing w:line="240" w:lineRule="auto"/>
        <w:jc w:val="both"/>
        <w:rPr>
          <w:color w:val="222222"/>
          <w:highlight w:val="white"/>
        </w:rPr>
      </w:pPr>
      <w:r>
        <w:rPr>
          <w:color w:val="222222"/>
          <w:highlight w:val="white"/>
        </w:rPr>
        <w:t xml:space="preserve">Wyniki wskazują, że Szczecin ma najlepszych sąsiadów w całej Polsce, choć po piętach depczą mu Białystok i Lublin z oceną 3,56 punktów oraz Gdańsk z oceną 3,55. Polacy raczej lubią swoich sąsiadów, bo między liderem rankingu, a zamykającym stawkę różnica punktów wynosiła zaledwie 0,25, więc można powiedzieć, że we wszystkich 12 miastach relacje sąsiedzkie oceniane są na podobnym poziomie. </w:t>
      </w:r>
    </w:p>
    <w:p w14:paraId="2856A4D6" w14:textId="77777777" w:rsidR="00FF30AD" w:rsidRDefault="00FF30AD">
      <w:pPr>
        <w:spacing w:line="240" w:lineRule="auto"/>
        <w:jc w:val="both"/>
        <w:rPr>
          <w:color w:val="222222"/>
          <w:highlight w:val="white"/>
        </w:rPr>
      </w:pPr>
    </w:p>
    <w:p w14:paraId="65FB3D70" w14:textId="4DA75AE3" w:rsidR="006C1E34" w:rsidRDefault="00D76F27">
      <w:pPr>
        <w:spacing w:line="240" w:lineRule="auto"/>
        <w:jc w:val="both"/>
        <w:rPr>
          <w:color w:val="222222"/>
          <w:highlight w:val="white"/>
        </w:rPr>
      </w:pPr>
      <w:r>
        <w:rPr>
          <w:color w:val="222222"/>
          <w:highlight w:val="white"/>
        </w:rPr>
        <w:lastRenderedPageBreak/>
        <w:t>Szczegółowe wyniki wyglądają następująco:</w:t>
      </w:r>
    </w:p>
    <w:tbl>
      <w:tblPr>
        <w:tblStyle w:val="a"/>
        <w:tblW w:w="4180" w:type="dxa"/>
        <w:tblInd w:w="0" w:type="dxa"/>
        <w:tblLayout w:type="fixed"/>
        <w:tblLook w:val="0400" w:firstRow="0" w:lastRow="0" w:firstColumn="0" w:lastColumn="0" w:noHBand="0" w:noVBand="1"/>
      </w:tblPr>
      <w:tblGrid>
        <w:gridCol w:w="480"/>
        <w:gridCol w:w="2340"/>
        <w:gridCol w:w="1360"/>
      </w:tblGrid>
      <w:tr w:rsidR="006C1E34" w14:paraId="65FB3D74" w14:textId="77777777">
        <w:trPr>
          <w:trHeight w:val="290"/>
        </w:trPr>
        <w:tc>
          <w:tcPr>
            <w:tcW w:w="480" w:type="dxa"/>
            <w:tcBorders>
              <w:top w:val="nil"/>
              <w:left w:val="nil"/>
              <w:bottom w:val="nil"/>
              <w:right w:val="nil"/>
            </w:tcBorders>
            <w:shd w:val="clear" w:color="auto" w:fill="auto"/>
            <w:vAlign w:val="bottom"/>
          </w:tcPr>
          <w:p w14:paraId="65FB3D71" w14:textId="77777777" w:rsidR="006C1E34" w:rsidRDefault="00D76F27">
            <w:pPr>
              <w:spacing w:after="0" w:line="240" w:lineRule="auto"/>
              <w:jc w:val="both"/>
              <w:rPr>
                <w:color w:val="222222"/>
                <w:highlight w:val="white"/>
              </w:rPr>
            </w:pPr>
            <w:r>
              <w:rPr>
                <w:color w:val="222222"/>
                <w:highlight w:val="white"/>
              </w:rPr>
              <w:t>1</w:t>
            </w:r>
          </w:p>
        </w:tc>
        <w:tc>
          <w:tcPr>
            <w:tcW w:w="2340" w:type="dxa"/>
            <w:tcBorders>
              <w:top w:val="nil"/>
              <w:left w:val="nil"/>
              <w:bottom w:val="nil"/>
              <w:right w:val="nil"/>
            </w:tcBorders>
            <w:shd w:val="clear" w:color="auto" w:fill="auto"/>
            <w:vAlign w:val="bottom"/>
          </w:tcPr>
          <w:p w14:paraId="65FB3D72" w14:textId="77777777" w:rsidR="006C1E34" w:rsidRDefault="00D76F27">
            <w:pPr>
              <w:spacing w:after="0" w:line="240" w:lineRule="auto"/>
              <w:jc w:val="both"/>
              <w:rPr>
                <w:color w:val="222222"/>
                <w:highlight w:val="white"/>
              </w:rPr>
            </w:pPr>
            <w:r>
              <w:rPr>
                <w:color w:val="222222"/>
                <w:highlight w:val="white"/>
              </w:rPr>
              <w:t>Szczecin</w:t>
            </w:r>
          </w:p>
        </w:tc>
        <w:tc>
          <w:tcPr>
            <w:tcW w:w="1360" w:type="dxa"/>
            <w:tcBorders>
              <w:top w:val="nil"/>
              <w:left w:val="nil"/>
              <w:bottom w:val="nil"/>
              <w:right w:val="nil"/>
            </w:tcBorders>
            <w:shd w:val="clear" w:color="auto" w:fill="auto"/>
            <w:vAlign w:val="bottom"/>
          </w:tcPr>
          <w:p w14:paraId="65FB3D73" w14:textId="77777777" w:rsidR="006C1E34" w:rsidRDefault="00D76F27">
            <w:pPr>
              <w:spacing w:after="0" w:line="240" w:lineRule="auto"/>
              <w:jc w:val="both"/>
              <w:rPr>
                <w:color w:val="222222"/>
                <w:highlight w:val="white"/>
              </w:rPr>
            </w:pPr>
            <w:r>
              <w:rPr>
                <w:color w:val="222222"/>
                <w:highlight w:val="white"/>
              </w:rPr>
              <w:t>3,57</w:t>
            </w:r>
          </w:p>
        </w:tc>
      </w:tr>
      <w:tr w:rsidR="006C1E34" w14:paraId="65FB3D78" w14:textId="77777777">
        <w:trPr>
          <w:trHeight w:val="290"/>
        </w:trPr>
        <w:tc>
          <w:tcPr>
            <w:tcW w:w="480" w:type="dxa"/>
            <w:tcBorders>
              <w:top w:val="nil"/>
              <w:left w:val="nil"/>
              <w:bottom w:val="nil"/>
              <w:right w:val="nil"/>
            </w:tcBorders>
            <w:shd w:val="clear" w:color="auto" w:fill="auto"/>
            <w:vAlign w:val="bottom"/>
          </w:tcPr>
          <w:p w14:paraId="65FB3D75" w14:textId="77777777" w:rsidR="006C1E34" w:rsidRDefault="00D76F27">
            <w:pPr>
              <w:spacing w:after="0" w:line="240" w:lineRule="auto"/>
              <w:jc w:val="both"/>
              <w:rPr>
                <w:color w:val="222222"/>
                <w:highlight w:val="white"/>
              </w:rPr>
            </w:pPr>
            <w:r>
              <w:rPr>
                <w:color w:val="222222"/>
                <w:highlight w:val="white"/>
              </w:rPr>
              <w:t>2</w:t>
            </w:r>
          </w:p>
        </w:tc>
        <w:tc>
          <w:tcPr>
            <w:tcW w:w="2340" w:type="dxa"/>
            <w:tcBorders>
              <w:top w:val="nil"/>
              <w:left w:val="nil"/>
              <w:bottom w:val="nil"/>
              <w:right w:val="nil"/>
            </w:tcBorders>
            <w:shd w:val="clear" w:color="auto" w:fill="auto"/>
            <w:vAlign w:val="bottom"/>
          </w:tcPr>
          <w:p w14:paraId="65FB3D76" w14:textId="77777777" w:rsidR="006C1E34" w:rsidRDefault="00D76F27">
            <w:pPr>
              <w:spacing w:after="0" w:line="240" w:lineRule="auto"/>
              <w:jc w:val="both"/>
              <w:rPr>
                <w:color w:val="222222"/>
                <w:highlight w:val="white"/>
              </w:rPr>
            </w:pPr>
            <w:r>
              <w:rPr>
                <w:color w:val="222222"/>
                <w:highlight w:val="white"/>
              </w:rPr>
              <w:t>Białystok</w:t>
            </w:r>
          </w:p>
        </w:tc>
        <w:tc>
          <w:tcPr>
            <w:tcW w:w="1360" w:type="dxa"/>
            <w:tcBorders>
              <w:top w:val="nil"/>
              <w:left w:val="nil"/>
              <w:bottom w:val="nil"/>
              <w:right w:val="nil"/>
            </w:tcBorders>
            <w:shd w:val="clear" w:color="auto" w:fill="auto"/>
            <w:vAlign w:val="bottom"/>
          </w:tcPr>
          <w:p w14:paraId="65FB3D77" w14:textId="77777777" w:rsidR="006C1E34" w:rsidRDefault="00D76F27">
            <w:pPr>
              <w:spacing w:after="0" w:line="240" w:lineRule="auto"/>
              <w:jc w:val="both"/>
              <w:rPr>
                <w:color w:val="222222"/>
                <w:highlight w:val="white"/>
              </w:rPr>
            </w:pPr>
            <w:r>
              <w:rPr>
                <w:color w:val="222222"/>
                <w:highlight w:val="white"/>
              </w:rPr>
              <w:t>3,56</w:t>
            </w:r>
          </w:p>
        </w:tc>
      </w:tr>
      <w:tr w:rsidR="006C1E34" w14:paraId="65FB3D7C" w14:textId="77777777">
        <w:trPr>
          <w:trHeight w:val="290"/>
        </w:trPr>
        <w:tc>
          <w:tcPr>
            <w:tcW w:w="480" w:type="dxa"/>
            <w:tcBorders>
              <w:top w:val="nil"/>
              <w:left w:val="nil"/>
              <w:bottom w:val="nil"/>
              <w:right w:val="nil"/>
            </w:tcBorders>
            <w:shd w:val="clear" w:color="auto" w:fill="auto"/>
            <w:vAlign w:val="bottom"/>
          </w:tcPr>
          <w:p w14:paraId="65FB3D79" w14:textId="77777777" w:rsidR="006C1E34" w:rsidRDefault="00D76F27">
            <w:pPr>
              <w:spacing w:after="0" w:line="240" w:lineRule="auto"/>
              <w:jc w:val="both"/>
              <w:rPr>
                <w:color w:val="222222"/>
                <w:highlight w:val="white"/>
              </w:rPr>
            </w:pPr>
            <w:r>
              <w:rPr>
                <w:color w:val="222222"/>
                <w:highlight w:val="white"/>
              </w:rPr>
              <w:t>2</w:t>
            </w:r>
          </w:p>
        </w:tc>
        <w:tc>
          <w:tcPr>
            <w:tcW w:w="2340" w:type="dxa"/>
            <w:tcBorders>
              <w:top w:val="nil"/>
              <w:left w:val="nil"/>
              <w:bottom w:val="nil"/>
              <w:right w:val="nil"/>
            </w:tcBorders>
            <w:shd w:val="clear" w:color="auto" w:fill="auto"/>
            <w:vAlign w:val="bottom"/>
          </w:tcPr>
          <w:p w14:paraId="65FB3D7A" w14:textId="77777777" w:rsidR="006C1E34" w:rsidRDefault="00D76F27">
            <w:pPr>
              <w:spacing w:after="0" w:line="240" w:lineRule="auto"/>
              <w:jc w:val="both"/>
              <w:rPr>
                <w:color w:val="222222"/>
                <w:highlight w:val="white"/>
              </w:rPr>
            </w:pPr>
            <w:r>
              <w:rPr>
                <w:color w:val="222222"/>
                <w:highlight w:val="white"/>
              </w:rPr>
              <w:t>Lublin</w:t>
            </w:r>
          </w:p>
        </w:tc>
        <w:tc>
          <w:tcPr>
            <w:tcW w:w="1360" w:type="dxa"/>
            <w:tcBorders>
              <w:top w:val="nil"/>
              <w:left w:val="nil"/>
              <w:bottom w:val="nil"/>
              <w:right w:val="nil"/>
            </w:tcBorders>
            <w:shd w:val="clear" w:color="auto" w:fill="auto"/>
            <w:vAlign w:val="bottom"/>
          </w:tcPr>
          <w:p w14:paraId="65FB3D7B" w14:textId="77777777" w:rsidR="006C1E34" w:rsidRDefault="00D76F27">
            <w:pPr>
              <w:spacing w:after="0" w:line="240" w:lineRule="auto"/>
              <w:jc w:val="both"/>
              <w:rPr>
                <w:color w:val="222222"/>
                <w:highlight w:val="white"/>
              </w:rPr>
            </w:pPr>
            <w:r>
              <w:rPr>
                <w:color w:val="222222"/>
                <w:highlight w:val="white"/>
              </w:rPr>
              <w:t>3,56</w:t>
            </w:r>
          </w:p>
        </w:tc>
      </w:tr>
      <w:tr w:rsidR="006C1E34" w14:paraId="65FB3D80" w14:textId="77777777">
        <w:trPr>
          <w:trHeight w:val="290"/>
        </w:trPr>
        <w:tc>
          <w:tcPr>
            <w:tcW w:w="480" w:type="dxa"/>
            <w:tcBorders>
              <w:top w:val="nil"/>
              <w:left w:val="nil"/>
              <w:bottom w:val="nil"/>
              <w:right w:val="nil"/>
            </w:tcBorders>
            <w:shd w:val="clear" w:color="auto" w:fill="auto"/>
            <w:vAlign w:val="bottom"/>
          </w:tcPr>
          <w:p w14:paraId="65FB3D7D" w14:textId="77777777" w:rsidR="006C1E34" w:rsidRDefault="00D76F27">
            <w:pPr>
              <w:spacing w:after="0" w:line="240" w:lineRule="auto"/>
              <w:jc w:val="both"/>
              <w:rPr>
                <w:color w:val="222222"/>
                <w:highlight w:val="white"/>
              </w:rPr>
            </w:pPr>
            <w:r>
              <w:rPr>
                <w:color w:val="222222"/>
                <w:highlight w:val="white"/>
              </w:rPr>
              <w:t>3</w:t>
            </w:r>
          </w:p>
        </w:tc>
        <w:tc>
          <w:tcPr>
            <w:tcW w:w="2340" w:type="dxa"/>
            <w:tcBorders>
              <w:top w:val="nil"/>
              <w:left w:val="nil"/>
              <w:bottom w:val="nil"/>
              <w:right w:val="nil"/>
            </w:tcBorders>
            <w:shd w:val="clear" w:color="auto" w:fill="auto"/>
            <w:vAlign w:val="bottom"/>
          </w:tcPr>
          <w:p w14:paraId="65FB3D7E" w14:textId="77777777" w:rsidR="006C1E34" w:rsidRDefault="00D76F27">
            <w:pPr>
              <w:spacing w:after="0" w:line="240" w:lineRule="auto"/>
              <w:jc w:val="both"/>
              <w:rPr>
                <w:color w:val="222222"/>
                <w:highlight w:val="white"/>
              </w:rPr>
            </w:pPr>
            <w:r>
              <w:rPr>
                <w:color w:val="222222"/>
                <w:highlight w:val="white"/>
              </w:rPr>
              <w:t>Gdańsk</w:t>
            </w:r>
          </w:p>
        </w:tc>
        <w:tc>
          <w:tcPr>
            <w:tcW w:w="1360" w:type="dxa"/>
            <w:tcBorders>
              <w:top w:val="nil"/>
              <w:left w:val="nil"/>
              <w:bottom w:val="nil"/>
              <w:right w:val="nil"/>
            </w:tcBorders>
            <w:shd w:val="clear" w:color="auto" w:fill="auto"/>
            <w:vAlign w:val="bottom"/>
          </w:tcPr>
          <w:p w14:paraId="65FB3D7F" w14:textId="77777777" w:rsidR="006C1E34" w:rsidRDefault="00D76F27">
            <w:pPr>
              <w:spacing w:after="0" w:line="240" w:lineRule="auto"/>
              <w:jc w:val="both"/>
              <w:rPr>
                <w:color w:val="222222"/>
                <w:highlight w:val="white"/>
              </w:rPr>
            </w:pPr>
            <w:r>
              <w:rPr>
                <w:color w:val="222222"/>
                <w:highlight w:val="white"/>
              </w:rPr>
              <w:t>3,55</w:t>
            </w:r>
          </w:p>
        </w:tc>
      </w:tr>
      <w:tr w:rsidR="006C1E34" w14:paraId="65FB3D84" w14:textId="77777777">
        <w:trPr>
          <w:trHeight w:val="290"/>
        </w:trPr>
        <w:tc>
          <w:tcPr>
            <w:tcW w:w="480" w:type="dxa"/>
            <w:tcBorders>
              <w:top w:val="nil"/>
              <w:left w:val="nil"/>
              <w:bottom w:val="nil"/>
              <w:right w:val="nil"/>
            </w:tcBorders>
            <w:shd w:val="clear" w:color="auto" w:fill="auto"/>
            <w:vAlign w:val="bottom"/>
          </w:tcPr>
          <w:p w14:paraId="65FB3D81" w14:textId="77777777" w:rsidR="006C1E34" w:rsidRDefault="00D76F27">
            <w:pPr>
              <w:spacing w:after="0" w:line="240" w:lineRule="auto"/>
              <w:jc w:val="both"/>
              <w:rPr>
                <w:color w:val="222222"/>
                <w:highlight w:val="white"/>
              </w:rPr>
            </w:pPr>
            <w:r>
              <w:rPr>
                <w:color w:val="222222"/>
                <w:highlight w:val="white"/>
              </w:rPr>
              <w:t>4</w:t>
            </w:r>
          </w:p>
        </w:tc>
        <w:tc>
          <w:tcPr>
            <w:tcW w:w="2340" w:type="dxa"/>
            <w:tcBorders>
              <w:top w:val="nil"/>
              <w:left w:val="nil"/>
              <w:bottom w:val="nil"/>
              <w:right w:val="nil"/>
            </w:tcBorders>
            <w:shd w:val="clear" w:color="auto" w:fill="auto"/>
            <w:vAlign w:val="bottom"/>
          </w:tcPr>
          <w:p w14:paraId="65FB3D82" w14:textId="77777777" w:rsidR="006C1E34" w:rsidRDefault="00D76F27">
            <w:pPr>
              <w:spacing w:after="0" w:line="240" w:lineRule="auto"/>
              <w:jc w:val="both"/>
              <w:rPr>
                <w:color w:val="222222"/>
                <w:highlight w:val="white"/>
              </w:rPr>
            </w:pPr>
            <w:r>
              <w:rPr>
                <w:color w:val="222222"/>
                <w:highlight w:val="white"/>
              </w:rPr>
              <w:t>Bydgoszcz</w:t>
            </w:r>
          </w:p>
        </w:tc>
        <w:tc>
          <w:tcPr>
            <w:tcW w:w="1360" w:type="dxa"/>
            <w:tcBorders>
              <w:top w:val="nil"/>
              <w:left w:val="nil"/>
              <w:bottom w:val="nil"/>
              <w:right w:val="nil"/>
            </w:tcBorders>
            <w:shd w:val="clear" w:color="auto" w:fill="auto"/>
            <w:vAlign w:val="bottom"/>
          </w:tcPr>
          <w:p w14:paraId="65FB3D83" w14:textId="77777777" w:rsidR="006C1E34" w:rsidRDefault="00D76F27">
            <w:pPr>
              <w:spacing w:after="0" w:line="240" w:lineRule="auto"/>
              <w:jc w:val="both"/>
              <w:rPr>
                <w:color w:val="222222"/>
                <w:highlight w:val="white"/>
              </w:rPr>
            </w:pPr>
            <w:r>
              <w:rPr>
                <w:color w:val="222222"/>
                <w:highlight w:val="white"/>
              </w:rPr>
              <w:t>3,54</w:t>
            </w:r>
          </w:p>
        </w:tc>
      </w:tr>
      <w:tr w:rsidR="006C1E34" w14:paraId="65FB3D88" w14:textId="77777777">
        <w:trPr>
          <w:trHeight w:val="290"/>
        </w:trPr>
        <w:tc>
          <w:tcPr>
            <w:tcW w:w="480" w:type="dxa"/>
            <w:tcBorders>
              <w:top w:val="nil"/>
              <w:left w:val="nil"/>
              <w:bottom w:val="nil"/>
              <w:right w:val="nil"/>
            </w:tcBorders>
            <w:shd w:val="clear" w:color="auto" w:fill="auto"/>
            <w:vAlign w:val="bottom"/>
          </w:tcPr>
          <w:p w14:paraId="65FB3D85" w14:textId="77777777" w:rsidR="006C1E34" w:rsidRDefault="00D76F27">
            <w:pPr>
              <w:spacing w:after="0" w:line="240" w:lineRule="auto"/>
              <w:jc w:val="both"/>
              <w:rPr>
                <w:color w:val="222222"/>
                <w:highlight w:val="white"/>
              </w:rPr>
            </w:pPr>
            <w:r>
              <w:rPr>
                <w:color w:val="222222"/>
                <w:highlight w:val="white"/>
              </w:rPr>
              <w:t>4</w:t>
            </w:r>
          </w:p>
        </w:tc>
        <w:tc>
          <w:tcPr>
            <w:tcW w:w="2340" w:type="dxa"/>
            <w:tcBorders>
              <w:top w:val="nil"/>
              <w:left w:val="nil"/>
              <w:bottom w:val="nil"/>
              <w:right w:val="nil"/>
            </w:tcBorders>
            <w:shd w:val="clear" w:color="auto" w:fill="auto"/>
            <w:vAlign w:val="bottom"/>
          </w:tcPr>
          <w:p w14:paraId="65FB3D86" w14:textId="77777777" w:rsidR="006C1E34" w:rsidRDefault="00D76F27">
            <w:pPr>
              <w:spacing w:after="0" w:line="240" w:lineRule="auto"/>
              <w:jc w:val="both"/>
              <w:rPr>
                <w:color w:val="222222"/>
                <w:highlight w:val="white"/>
              </w:rPr>
            </w:pPr>
            <w:r>
              <w:rPr>
                <w:color w:val="222222"/>
                <w:highlight w:val="white"/>
              </w:rPr>
              <w:t>Gdynia</w:t>
            </w:r>
          </w:p>
        </w:tc>
        <w:tc>
          <w:tcPr>
            <w:tcW w:w="1360" w:type="dxa"/>
            <w:tcBorders>
              <w:top w:val="nil"/>
              <w:left w:val="nil"/>
              <w:bottom w:val="nil"/>
              <w:right w:val="nil"/>
            </w:tcBorders>
            <w:shd w:val="clear" w:color="auto" w:fill="auto"/>
            <w:vAlign w:val="bottom"/>
          </w:tcPr>
          <w:p w14:paraId="65FB3D87" w14:textId="77777777" w:rsidR="006C1E34" w:rsidRDefault="00D76F27">
            <w:pPr>
              <w:spacing w:after="0" w:line="240" w:lineRule="auto"/>
              <w:jc w:val="both"/>
              <w:rPr>
                <w:color w:val="222222"/>
                <w:highlight w:val="white"/>
              </w:rPr>
            </w:pPr>
            <w:r>
              <w:rPr>
                <w:color w:val="222222"/>
                <w:highlight w:val="white"/>
              </w:rPr>
              <w:t>3,54</w:t>
            </w:r>
          </w:p>
        </w:tc>
      </w:tr>
      <w:tr w:rsidR="006C1E34" w14:paraId="65FB3D8C" w14:textId="77777777">
        <w:trPr>
          <w:trHeight w:val="290"/>
        </w:trPr>
        <w:tc>
          <w:tcPr>
            <w:tcW w:w="480" w:type="dxa"/>
            <w:tcBorders>
              <w:top w:val="nil"/>
              <w:left w:val="nil"/>
              <w:bottom w:val="nil"/>
              <w:right w:val="nil"/>
            </w:tcBorders>
            <w:shd w:val="clear" w:color="auto" w:fill="auto"/>
            <w:vAlign w:val="bottom"/>
          </w:tcPr>
          <w:p w14:paraId="65FB3D89" w14:textId="77777777" w:rsidR="006C1E34" w:rsidRDefault="00D76F27">
            <w:pPr>
              <w:spacing w:after="0" w:line="240" w:lineRule="auto"/>
              <w:jc w:val="both"/>
              <w:rPr>
                <w:color w:val="222222"/>
                <w:highlight w:val="white"/>
              </w:rPr>
            </w:pPr>
            <w:r>
              <w:rPr>
                <w:color w:val="222222"/>
                <w:highlight w:val="white"/>
              </w:rPr>
              <w:t>5</w:t>
            </w:r>
          </w:p>
        </w:tc>
        <w:tc>
          <w:tcPr>
            <w:tcW w:w="2340" w:type="dxa"/>
            <w:tcBorders>
              <w:top w:val="nil"/>
              <w:left w:val="nil"/>
              <w:bottom w:val="nil"/>
              <w:right w:val="nil"/>
            </w:tcBorders>
            <w:shd w:val="clear" w:color="auto" w:fill="auto"/>
            <w:vAlign w:val="bottom"/>
          </w:tcPr>
          <w:p w14:paraId="65FB3D8A" w14:textId="77777777" w:rsidR="006C1E34" w:rsidRDefault="00D76F27">
            <w:pPr>
              <w:spacing w:after="0" w:line="240" w:lineRule="auto"/>
              <w:jc w:val="both"/>
              <w:rPr>
                <w:color w:val="222222"/>
                <w:highlight w:val="white"/>
              </w:rPr>
            </w:pPr>
            <w:r>
              <w:rPr>
                <w:color w:val="222222"/>
                <w:highlight w:val="white"/>
              </w:rPr>
              <w:t>Katowice</w:t>
            </w:r>
          </w:p>
        </w:tc>
        <w:tc>
          <w:tcPr>
            <w:tcW w:w="1360" w:type="dxa"/>
            <w:tcBorders>
              <w:top w:val="nil"/>
              <w:left w:val="nil"/>
              <w:bottom w:val="nil"/>
              <w:right w:val="nil"/>
            </w:tcBorders>
            <w:shd w:val="clear" w:color="auto" w:fill="auto"/>
            <w:vAlign w:val="bottom"/>
          </w:tcPr>
          <w:p w14:paraId="65FB3D8B" w14:textId="77777777" w:rsidR="006C1E34" w:rsidRDefault="00D76F27">
            <w:pPr>
              <w:spacing w:after="0" w:line="240" w:lineRule="auto"/>
              <w:jc w:val="both"/>
              <w:rPr>
                <w:color w:val="222222"/>
                <w:highlight w:val="white"/>
              </w:rPr>
            </w:pPr>
            <w:r>
              <w:rPr>
                <w:color w:val="222222"/>
                <w:highlight w:val="white"/>
              </w:rPr>
              <w:t>3,53</w:t>
            </w:r>
          </w:p>
        </w:tc>
      </w:tr>
      <w:tr w:rsidR="006C1E34" w14:paraId="65FB3D90" w14:textId="77777777">
        <w:trPr>
          <w:trHeight w:val="290"/>
        </w:trPr>
        <w:tc>
          <w:tcPr>
            <w:tcW w:w="480" w:type="dxa"/>
            <w:tcBorders>
              <w:top w:val="nil"/>
              <w:left w:val="nil"/>
              <w:bottom w:val="nil"/>
              <w:right w:val="nil"/>
            </w:tcBorders>
            <w:shd w:val="clear" w:color="auto" w:fill="auto"/>
            <w:vAlign w:val="bottom"/>
          </w:tcPr>
          <w:p w14:paraId="65FB3D8D" w14:textId="77777777" w:rsidR="006C1E34" w:rsidRDefault="00D76F27">
            <w:pPr>
              <w:spacing w:after="0" w:line="240" w:lineRule="auto"/>
              <w:jc w:val="both"/>
              <w:rPr>
                <w:color w:val="222222"/>
                <w:highlight w:val="white"/>
              </w:rPr>
            </w:pPr>
            <w:r>
              <w:rPr>
                <w:color w:val="222222"/>
                <w:highlight w:val="white"/>
              </w:rPr>
              <w:t>6</w:t>
            </w:r>
          </w:p>
        </w:tc>
        <w:tc>
          <w:tcPr>
            <w:tcW w:w="2340" w:type="dxa"/>
            <w:tcBorders>
              <w:top w:val="nil"/>
              <w:left w:val="nil"/>
              <w:bottom w:val="nil"/>
              <w:right w:val="nil"/>
            </w:tcBorders>
            <w:shd w:val="clear" w:color="auto" w:fill="auto"/>
            <w:vAlign w:val="bottom"/>
          </w:tcPr>
          <w:p w14:paraId="65FB3D8E" w14:textId="77777777" w:rsidR="006C1E34" w:rsidRDefault="00D76F27">
            <w:pPr>
              <w:spacing w:after="0" w:line="240" w:lineRule="auto"/>
              <w:jc w:val="both"/>
              <w:rPr>
                <w:color w:val="222222"/>
                <w:highlight w:val="white"/>
              </w:rPr>
            </w:pPr>
            <w:r>
              <w:rPr>
                <w:color w:val="222222"/>
                <w:highlight w:val="white"/>
              </w:rPr>
              <w:t>Poznań</w:t>
            </w:r>
          </w:p>
        </w:tc>
        <w:tc>
          <w:tcPr>
            <w:tcW w:w="1360" w:type="dxa"/>
            <w:tcBorders>
              <w:top w:val="nil"/>
              <w:left w:val="nil"/>
              <w:bottom w:val="nil"/>
              <w:right w:val="nil"/>
            </w:tcBorders>
            <w:shd w:val="clear" w:color="auto" w:fill="auto"/>
            <w:vAlign w:val="bottom"/>
          </w:tcPr>
          <w:p w14:paraId="65FB3D8F" w14:textId="77777777" w:rsidR="006C1E34" w:rsidRDefault="00D76F27">
            <w:pPr>
              <w:spacing w:after="0" w:line="240" w:lineRule="auto"/>
              <w:jc w:val="both"/>
              <w:rPr>
                <w:color w:val="222222"/>
                <w:highlight w:val="white"/>
              </w:rPr>
            </w:pPr>
            <w:r>
              <w:rPr>
                <w:color w:val="222222"/>
                <w:highlight w:val="white"/>
              </w:rPr>
              <w:t>3,44</w:t>
            </w:r>
          </w:p>
        </w:tc>
      </w:tr>
      <w:tr w:rsidR="006C1E34" w14:paraId="65FB3D94" w14:textId="77777777">
        <w:trPr>
          <w:trHeight w:val="290"/>
        </w:trPr>
        <w:tc>
          <w:tcPr>
            <w:tcW w:w="480" w:type="dxa"/>
            <w:tcBorders>
              <w:top w:val="nil"/>
              <w:left w:val="nil"/>
              <w:bottom w:val="nil"/>
              <w:right w:val="nil"/>
            </w:tcBorders>
            <w:shd w:val="clear" w:color="auto" w:fill="auto"/>
            <w:vAlign w:val="bottom"/>
          </w:tcPr>
          <w:p w14:paraId="65FB3D91" w14:textId="77777777" w:rsidR="006C1E34" w:rsidRDefault="00D76F27">
            <w:pPr>
              <w:spacing w:after="0" w:line="240" w:lineRule="auto"/>
              <w:jc w:val="both"/>
              <w:rPr>
                <w:color w:val="222222"/>
                <w:highlight w:val="white"/>
              </w:rPr>
            </w:pPr>
            <w:r>
              <w:rPr>
                <w:color w:val="222222"/>
                <w:highlight w:val="white"/>
              </w:rPr>
              <w:t>7</w:t>
            </w:r>
          </w:p>
        </w:tc>
        <w:tc>
          <w:tcPr>
            <w:tcW w:w="2340" w:type="dxa"/>
            <w:tcBorders>
              <w:top w:val="nil"/>
              <w:left w:val="nil"/>
              <w:bottom w:val="nil"/>
              <w:right w:val="nil"/>
            </w:tcBorders>
            <w:shd w:val="clear" w:color="auto" w:fill="auto"/>
            <w:vAlign w:val="bottom"/>
          </w:tcPr>
          <w:p w14:paraId="65FB3D92" w14:textId="77777777" w:rsidR="006C1E34" w:rsidRDefault="00D76F27">
            <w:pPr>
              <w:spacing w:after="0" w:line="240" w:lineRule="auto"/>
              <w:jc w:val="both"/>
              <w:rPr>
                <w:color w:val="222222"/>
                <w:highlight w:val="white"/>
              </w:rPr>
            </w:pPr>
            <w:r>
              <w:rPr>
                <w:color w:val="222222"/>
                <w:highlight w:val="white"/>
              </w:rPr>
              <w:t>Warszawa</w:t>
            </w:r>
          </w:p>
        </w:tc>
        <w:tc>
          <w:tcPr>
            <w:tcW w:w="1360" w:type="dxa"/>
            <w:tcBorders>
              <w:top w:val="nil"/>
              <w:left w:val="nil"/>
              <w:bottom w:val="nil"/>
              <w:right w:val="nil"/>
            </w:tcBorders>
            <w:shd w:val="clear" w:color="auto" w:fill="auto"/>
            <w:vAlign w:val="bottom"/>
          </w:tcPr>
          <w:p w14:paraId="65FB3D93" w14:textId="77777777" w:rsidR="006C1E34" w:rsidRDefault="00D76F27">
            <w:pPr>
              <w:spacing w:after="0" w:line="240" w:lineRule="auto"/>
              <w:jc w:val="both"/>
              <w:rPr>
                <w:color w:val="222222"/>
                <w:highlight w:val="white"/>
              </w:rPr>
            </w:pPr>
            <w:r>
              <w:rPr>
                <w:color w:val="222222"/>
                <w:highlight w:val="white"/>
              </w:rPr>
              <w:t>3,41</w:t>
            </w:r>
          </w:p>
        </w:tc>
      </w:tr>
      <w:tr w:rsidR="006C1E34" w14:paraId="65FB3D98" w14:textId="77777777">
        <w:trPr>
          <w:trHeight w:val="290"/>
        </w:trPr>
        <w:tc>
          <w:tcPr>
            <w:tcW w:w="480" w:type="dxa"/>
            <w:tcBorders>
              <w:top w:val="nil"/>
              <w:left w:val="nil"/>
              <w:bottom w:val="nil"/>
              <w:right w:val="nil"/>
            </w:tcBorders>
            <w:shd w:val="clear" w:color="auto" w:fill="auto"/>
            <w:vAlign w:val="bottom"/>
          </w:tcPr>
          <w:p w14:paraId="65FB3D95" w14:textId="77777777" w:rsidR="006C1E34" w:rsidRDefault="00D76F27">
            <w:pPr>
              <w:spacing w:after="0" w:line="240" w:lineRule="auto"/>
              <w:jc w:val="both"/>
              <w:rPr>
                <w:color w:val="222222"/>
                <w:highlight w:val="white"/>
              </w:rPr>
            </w:pPr>
            <w:r>
              <w:rPr>
                <w:color w:val="222222"/>
                <w:highlight w:val="white"/>
              </w:rPr>
              <w:t>8</w:t>
            </w:r>
          </w:p>
        </w:tc>
        <w:tc>
          <w:tcPr>
            <w:tcW w:w="2340" w:type="dxa"/>
            <w:tcBorders>
              <w:top w:val="nil"/>
              <w:left w:val="nil"/>
              <w:bottom w:val="nil"/>
              <w:right w:val="nil"/>
            </w:tcBorders>
            <w:shd w:val="clear" w:color="auto" w:fill="auto"/>
            <w:vAlign w:val="bottom"/>
          </w:tcPr>
          <w:p w14:paraId="65FB3D96" w14:textId="77777777" w:rsidR="006C1E34" w:rsidRDefault="00D76F27">
            <w:pPr>
              <w:spacing w:after="0" w:line="240" w:lineRule="auto"/>
              <w:jc w:val="both"/>
              <w:rPr>
                <w:color w:val="222222"/>
                <w:highlight w:val="white"/>
              </w:rPr>
            </w:pPr>
            <w:r>
              <w:rPr>
                <w:color w:val="222222"/>
                <w:highlight w:val="white"/>
              </w:rPr>
              <w:t>Kraków</w:t>
            </w:r>
          </w:p>
        </w:tc>
        <w:tc>
          <w:tcPr>
            <w:tcW w:w="1360" w:type="dxa"/>
            <w:tcBorders>
              <w:top w:val="nil"/>
              <w:left w:val="nil"/>
              <w:bottom w:val="nil"/>
              <w:right w:val="nil"/>
            </w:tcBorders>
            <w:shd w:val="clear" w:color="auto" w:fill="auto"/>
            <w:vAlign w:val="bottom"/>
          </w:tcPr>
          <w:p w14:paraId="65FB3D97" w14:textId="77777777" w:rsidR="006C1E34" w:rsidRDefault="00D76F27">
            <w:pPr>
              <w:spacing w:after="0" w:line="240" w:lineRule="auto"/>
              <w:jc w:val="both"/>
              <w:rPr>
                <w:color w:val="222222"/>
                <w:highlight w:val="white"/>
              </w:rPr>
            </w:pPr>
            <w:r>
              <w:rPr>
                <w:color w:val="222222"/>
                <w:highlight w:val="white"/>
              </w:rPr>
              <w:t>3,35</w:t>
            </w:r>
          </w:p>
        </w:tc>
      </w:tr>
      <w:tr w:rsidR="006C1E34" w14:paraId="65FB3D9C" w14:textId="77777777">
        <w:trPr>
          <w:trHeight w:val="290"/>
        </w:trPr>
        <w:tc>
          <w:tcPr>
            <w:tcW w:w="480" w:type="dxa"/>
            <w:tcBorders>
              <w:top w:val="nil"/>
              <w:left w:val="nil"/>
              <w:bottom w:val="nil"/>
              <w:right w:val="nil"/>
            </w:tcBorders>
            <w:shd w:val="clear" w:color="auto" w:fill="auto"/>
            <w:vAlign w:val="bottom"/>
          </w:tcPr>
          <w:p w14:paraId="65FB3D99" w14:textId="77777777" w:rsidR="006C1E34" w:rsidRDefault="00D76F27">
            <w:pPr>
              <w:spacing w:after="0" w:line="240" w:lineRule="auto"/>
              <w:jc w:val="both"/>
              <w:rPr>
                <w:color w:val="222222"/>
                <w:highlight w:val="white"/>
              </w:rPr>
            </w:pPr>
            <w:r>
              <w:rPr>
                <w:color w:val="222222"/>
                <w:highlight w:val="white"/>
              </w:rPr>
              <w:t>8</w:t>
            </w:r>
          </w:p>
        </w:tc>
        <w:tc>
          <w:tcPr>
            <w:tcW w:w="2340" w:type="dxa"/>
            <w:tcBorders>
              <w:top w:val="nil"/>
              <w:left w:val="nil"/>
              <w:bottom w:val="nil"/>
              <w:right w:val="nil"/>
            </w:tcBorders>
            <w:shd w:val="clear" w:color="auto" w:fill="auto"/>
            <w:vAlign w:val="bottom"/>
          </w:tcPr>
          <w:p w14:paraId="65FB3D9A" w14:textId="77777777" w:rsidR="006C1E34" w:rsidRDefault="00D76F27">
            <w:pPr>
              <w:spacing w:after="0" w:line="240" w:lineRule="auto"/>
              <w:jc w:val="both"/>
              <w:rPr>
                <w:color w:val="222222"/>
                <w:highlight w:val="white"/>
              </w:rPr>
            </w:pPr>
            <w:r>
              <w:rPr>
                <w:color w:val="222222"/>
                <w:highlight w:val="white"/>
              </w:rPr>
              <w:t>Łódź</w:t>
            </w:r>
          </w:p>
        </w:tc>
        <w:tc>
          <w:tcPr>
            <w:tcW w:w="1360" w:type="dxa"/>
            <w:tcBorders>
              <w:top w:val="nil"/>
              <w:left w:val="nil"/>
              <w:bottom w:val="nil"/>
              <w:right w:val="nil"/>
            </w:tcBorders>
            <w:shd w:val="clear" w:color="auto" w:fill="auto"/>
            <w:vAlign w:val="bottom"/>
          </w:tcPr>
          <w:p w14:paraId="65FB3D9B" w14:textId="77777777" w:rsidR="006C1E34" w:rsidRDefault="00D76F27">
            <w:pPr>
              <w:spacing w:after="0" w:line="240" w:lineRule="auto"/>
              <w:jc w:val="both"/>
              <w:rPr>
                <w:color w:val="222222"/>
                <w:highlight w:val="white"/>
              </w:rPr>
            </w:pPr>
            <w:r>
              <w:rPr>
                <w:color w:val="222222"/>
                <w:highlight w:val="white"/>
              </w:rPr>
              <w:t>3,35</w:t>
            </w:r>
          </w:p>
        </w:tc>
      </w:tr>
      <w:tr w:rsidR="006C1E34" w14:paraId="65FB3DA0" w14:textId="77777777">
        <w:trPr>
          <w:trHeight w:val="290"/>
        </w:trPr>
        <w:tc>
          <w:tcPr>
            <w:tcW w:w="480" w:type="dxa"/>
            <w:tcBorders>
              <w:top w:val="nil"/>
              <w:left w:val="nil"/>
              <w:bottom w:val="nil"/>
              <w:right w:val="nil"/>
            </w:tcBorders>
            <w:shd w:val="clear" w:color="auto" w:fill="auto"/>
            <w:vAlign w:val="bottom"/>
          </w:tcPr>
          <w:p w14:paraId="65FB3D9D" w14:textId="77777777" w:rsidR="006C1E34" w:rsidRDefault="00D76F27">
            <w:pPr>
              <w:spacing w:after="0" w:line="240" w:lineRule="auto"/>
              <w:jc w:val="both"/>
              <w:rPr>
                <w:color w:val="222222"/>
                <w:highlight w:val="white"/>
              </w:rPr>
            </w:pPr>
            <w:r>
              <w:rPr>
                <w:color w:val="222222"/>
                <w:highlight w:val="white"/>
              </w:rPr>
              <w:t>9</w:t>
            </w:r>
          </w:p>
        </w:tc>
        <w:tc>
          <w:tcPr>
            <w:tcW w:w="2340" w:type="dxa"/>
            <w:tcBorders>
              <w:top w:val="nil"/>
              <w:left w:val="nil"/>
              <w:bottom w:val="nil"/>
              <w:right w:val="nil"/>
            </w:tcBorders>
            <w:shd w:val="clear" w:color="auto" w:fill="auto"/>
            <w:vAlign w:val="bottom"/>
          </w:tcPr>
          <w:p w14:paraId="65FB3D9E" w14:textId="77777777" w:rsidR="006C1E34" w:rsidRDefault="00D76F27">
            <w:pPr>
              <w:spacing w:after="0" w:line="240" w:lineRule="auto"/>
              <w:jc w:val="both"/>
              <w:rPr>
                <w:color w:val="222222"/>
                <w:highlight w:val="white"/>
              </w:rPr>
            </w:pPr>
            <w:r>
              <w:rPr>
                <w:color w:val="222222"/>
                <w:highlight w:val="white"/>
              </w:rPr>
              <w:t>Wrocław</w:t>
            </w:r>
          </w:p>
        </w:tc>
        <w:tc>
          <w:tcPr>
            <w:tcW w:w="1360" w:type="dxa"/>
            <w:tcBorders>
              <w:top w:val="nil"/>
              <w:left w:val="nil"/>
              <w:bottom w:val="nil"/>
              <w:right w:val="nil"/>
            </w:tcBorders>
            <w:shd w:val="clear" w:color="auto" w:fill="auto"/>
            <w:vAlign w:val="bottom"/>
          </w:tcPr>
          <w:p w14:paraId="65FB3D9F" w14:textId="77777777" w:rsidR="006C1E34" w:rsidRDefault="00D76F27">
            <w:pPr>
              <w:spacing w:after="0" w:line="240" w:lineRule="auto"/>
              <w:jc w:val="both"/>
              <w:rPr>
                <w:color w:val="222222"/>
                <w:highlight w:val="white"/>
              </w:rPr>
            </w:pPr>
            <w:r>
              <w:rPr>
                <w:color w:val="222222"/>
                <w:highlight w:val="white"/>
              </w:rPr>
              <w:t>3,32</w:t>
            </w:r>
          </w:p>
        </w:tc>
      </w:tr>
    </w:tbl>
    <w:p w14:paraId="65FB3DA1" w14:textId="77777777" w:rsidR="006C1E34" w:rsidRDefault="006C1E34">
      <w:pPr>
        <w:spacing w:line="240" w:lineRule="auto"/>
        <w:jc w:val="both"/>
        <w:rPr>
          <w:color w:val="222222"/>
          <w:highlight w:val="white"/>
        </w:rPr>
      </w:pPr>
    </w:p>
    <w:p w14:paraId="21E4C629" w14:textId="66232442" w:rsidR="00FF30AD" w:rsidRDefault="0004563E">
      <w:pPr>
        <w:spacing w:line="240" w:lineRule="auto"/>
        <w:jc w:val="both"/>
      </w:pPr>
      <w:r>
        <w:rPr>
          <w:noProof/>
        </w:rPr>
        <w:drawing>
          <wp:inline distT="0" distB="0" distL="0" distR="0" wp14:anchorId="3E23F5A4" wp14:editId="0F76D6F4">
            <wp:extent cx="5733415" cy="5733415"/>
            <wp:effectExtent l="0" t="0" r="63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733415"/>
                    </a:xfrm>
                    <a:prstGeom prst="rect">
                      <a:avLst/>
                    </a:prstGeom>
                    <a:noFill/>
                    <a:ln>
                      <a:noFill/>
                    </a:ln>
                  </pic:spPr>
                </pic:pic>
              </a:graphicData>
            </a:graphic>
          </wp:inline>
        </w:drawing>
      </w:r>
    </w:p>
    <w:p w14:paraId="65FB3DA2" w14:textId="1EFE6E93" w:rsidR="006C1E34" w:rsidRDefault="00D76F27">
      <w:pPr>
        <w:spacing w:line="240" w:lineRule="auto"/>
        <w:jc w:val="both"/>
      </w:pPr>
      <w:r>
        <w:lastRenderedPageBreak/>
        <w:t xml:space="preserve">Wrocławianie dość krytycznie oceniają się jako sąsiadów – i to niezależnie od dzielnicy, </w:t>
      </w:r>
      <w:r>
        <w:br/>
        <w:t xml:space="preserve">w której mieszkają. W 5-punktowej skali najwyższa nota to zaledwie 3,4 punktu. Wyniki są przy tym bardzo wyrównane – najniższa ocena to z kolei 3,2 punktu. </w:t>
      </w:r>
    </w:p>
    <w:p w14:paraId="65FB3DA3" w14:textId="77777777" w:rsidR="006C1E34" w:rsidRDefault="00D76F27">
      <w:pPr>
        <w:spacing w:before="240" w:after="240" w:line="240" w:lineRule="auto"/>
        <w:jc w:val="both"/>
        <w:rPr>
          <w:sz w:val="28"/>
          <w:szCs w:val="28"/>
        </w:rPr>
      </w:pPr>
      <w:r>
        <w:rPr>
          <w:b/>
          <w:color w:val="222222"/>
          <w:sz w:val="28"/>
          <w:szCs w:val="28"/>
          <w:highlight w:val="white"/>
        </w:rPr>
        <w:t>5 dzielnic Bydgoszczy w pierwszej dziesiątce dzielnic w Polsce</w:t>
      </w:r>
    </w:p>
    <w:p w14:paraId="65FB3DA4" w14:textId="77777777" w:rsidR="006C1E34" w:rsidRDefault="00D76F27">
      <w:pPr>
        <w:spacing w:before="240" w:after="240" w:line="240" w:lineRule="auto"/>
        <w:jc w:val="both"/>
      </w:pPr>
      <w:r>
        <w:t xml:space="preserve">Okazało się, że w zgodnej opinii respondentów bydgoszczanie jako sąsiedzi spisują się bardzo dobrze. Aż pięć dzielnic otrzymało ocenę wyższą niż 4 w pięciostopniowej skali, a jedna była nawet bardzo blisko ideału. I choć Bydgoszcz jako miasto znalazło się tuż za podium jeśli chodzi „sąsiedztwo” to te 5 dzielnic znalazło się w pierwszej dziesiątce wszystkich dzielnic w Polsce! Otóż zdaniem ankietowanych w jednej z części Bydgoszczy więzi sąsiedzkie są bliskie ideału. Mowa o </w:t>
      </w:r>
      <w:proofErr w:type="spellStart"/>
      <w:r>
        <w:t>Smukale</w:t>
      </w:r>
      <w:proofErr w:type="spellEnd"/>
      <w:r>
        <w:t>-</w:t>
      </w:r>
      <w:proofErr w:type="spellStart"/>
      <w:r>
        <w:t>Opławcu</w:t>
      </w:r>
      <w:proofErr w:type="spellEnd"/>
      <w:r>
        <w:t xml:space="preserve">-Janowie, które z olbrzymią przewagą wygrało drugą edycję rankingu dzielnic Otodom. Respondenci ocenili tę lokalizację na imponujące 4,52 punktu. – </w:t>
      </w:r>
      <w:r>
        <w:rPr>
          <w:i/>
        </w:rPr>
        <w:t xml:space="preserve">To dzielnica domów jednorodzinnych. Mieszkańcy znają się tam osobiście, a jednocześnie nie sąsiadują zwykle “przez ścianę”. Sprzyja to wzajemnemu zaufaniu i sympatii - stąd pewnie tak wysoki wynik – </w:t>
      </w:r>
      <w:r>
        <w:t>komentuje Sabina Libera, Libera Nieruchomości.</w:t>
      </w:r>
    </w:p>
    <w:p w14:paraId="65FB3DA5" w14:textId="77777777" w:rsidR="006C1E34" w:rsidRDefault="00D76F27">
      <w:pPr>
        <w:spacing w:before="240" w:after="240" w:line="240" w:lineRule="auto"/>
        <w:jc w:val="both"/>
      </w:pPr>
      <w:r>
        <w:t>Na podium w Bydgoszczy znalazło się również Brdyujście z notą 4,14 punktu oraz Zimne Wody-Czersko Polskie ocenione na 4,09 punktu. Powyżej 4 punktów otrzymały również Tereny Nadwiślańskie (4,06) oraz Flisy (4,05).</w:t>
      </w:r>
    </w:p>
    <w:p w14:paraId="65FB3DA7" w14:textId="77777777" w:rsidR="006C1E34" w:rsidRDefault="00D76F27" w:rsidP="00045BE1">
      <w:pPr>
        <w:pStyle w:val="Nagwek2"/>
        <w:spacing w:line="240" w:lineRule="auto"/>
        <w:jc w:val="both"/>
        <w:rPr>
          <w:b/>
          <w:color w:val="222222"/>
          <w:sz w:val="28"/>
          <w:szCs w:val="28"/>
          <w:highlight w:val="white"/>
        </w:rPr>
      </w:pPr>
      <w:r>
        <w:rPr>
          <w:b/>
          <w:color w:val="222222"/>
          <w:sz w:val="28"/>
          <w:szCs w:val="28"/>
          <w:highlight w:val="white"/>
        </w:rPr>
        <w:t>Ranking Dzielnic Otodom 2020</w:t>
      </w:r>
    </w:p>
    <w:p w14:paraId="65FB3DA8" w14:textId="77777777" w:rsidR="006C1E34" w:rsidRDefault="00D76F27" w:rsidP="00045BE1">
      <w:pPr>
        <w:spacing w:line="240" w:lineRule="auto"/>
        <w:jc w:val="both"/>
        <w:rPr>
          <w:color w:val="222222"/>
          <w:highlight w:val="white"/>
        </w:rPr>
      </w:pPr>
      <w:r>
        <w:rPr>
          <w:color w:val="222222"/>
          <w:highlight w:val="white"/>
        </w:rPr>
        <w:t xml:space="preserve">To już druga edycja Rankingu Dzielnic Otodom, poprzednia opublikowana została trzy lata temu. Tegoroczne zestawienie powstało na podstawie badania przeprowadzonego na zlecenie Otodom przez Agencję Badawczą IQS. Ponad 120 tys. mieszkańców 12 miast Polski: Białegostoku, Bydgoszczy, Gdyni, Gdańska, Katowic, Krakowa, Lublina, Łodzi, Poznania, Szczecina, Warszawy i Wrocławia, oceniało różne aspekty życia w swojej okolicy. Badanie ilościowe realizowane było przy użyciu standaryzowanego kwestionariusza za pomocą metodologii CAWI (ang. </w:t>
      </w:r>
      <w:proofErr w:type="spellStart"/>
      <w:r>
        <w:rPr>
          <w:color w:val="222222"/>
          <w:highlight w:val="white"/>
        </w:rPr>
        <w:t>Computer-Assisted</w:t>
      </w:r>
      <w:proofErr w:type="spellEnd"/>
      <w:r>
        <w:rPr>
          <w:color w:val="222222"/>
          <w:highlight w:val="white"/>
        </w:rPr>
        <w:t xml:space="preserve"> Web Interview) – wspomagany komputerowo wywiad przy pomocy strony internetowej. Tegoroczna edycja rankingu oprócz znanych już kategorii (bezpieczeństwo, relacje sąsiedzkie, ekologia, zadbana okolica, komunikacja, dostępność atrakcji, dostępność sklepów, koszty życia, infrastruktura dla dzieci) uwzględnia także nowe: infrastruktura dla zwierząt, dzielnice dla aktywnych sportowo, dostępność imprez i służby zdrowia.</w:t>
      </w:r>
    </w:p>
    <w:p w14:paraId="65FB3DA9" w14:textId="77777777" w:rsidR="006C1E34" w:rsidRDefault="00D76F27" w:rsidP="00045BE1">
      <w:pPr>
        <w:spacing w:line="240" w:lineRule="auto"/>
        <w:jc w:val="both"/>
        <w:rPr>
          <w:color w:val="222222"/>
          <w:highlight w:val="white"/>
        </w:rPr>
      </w:pPr>
      <w:r>
        <w:rPr>
          <w:color w:val="222222"/>
          <w:highlight w:val="white"/>
        </w:rPr>
        <w:t>Już w kolejnym tygodniu nowe informacje o kolejnych kategoriach Rankingu Dzielnic Otodom.</w:t>
      </w:r>
    </w:p>
    <w:p w14:paraId="65FB3DAA" w14:textId="77777777" w:rsidR="006C1E34" w:rsidRDefault="00D76F27" w:rsidP="00045BE1">
      <w:pPr>
        <w:spacing w:line="240" w:lineRule="auto"/>
        <w:jc w:val="both"/>
        <w:rPr>
          <w:b/>
          <w:color w:val="222222"/>
          <w:sz w:val="28"/>
          <w:szCs w:val="28"/>
          <w:highlight w:val="white"/>
        </w:rPr>
      </w:pPr>
      <w:r>
        <w:rPr>
          <w:b/>
          <w:color w:val="222222"/>
          <w:sz w:val="28"/>
          <w:szCs w:val="28"/>
          <w:highlight w:val="white"/>
        </w:rPr>
        <w:t>Więcej o OTODOM</w:t>
      </w:r>
    </w:p>
    <w:p w14:paraId="65FB3DAB" w14:textId="77777777" w:rsidR="006C1E34" w:rsidRDefault="00D76F27" w:rsidP="00045BE1">
      <w:pPr>
        <w:spacing w:line="240" w:lineRule="auto"/>
        <w:jc w:val="both"/>
        <w:rPr>
          <w:color w:val="222222"/>
          <w:highlight w:val="white"/>
        </w:rPr>
      </w:pPr>
      <w:r>
        <w:rPr>
          <w:color w:val="222222"/>
          <w:highlight w:val="white"/>
        </w:rPr>
        <w:t xml:space="preserve">Otodom to najpopularniejszy serwis nieruchomości w Polsce. Umożliwia swoim użytkownikom wyszukanie, przeglądanie i zamieszczanie ogłoszeń sprzedaży i wynajmu nieruchomości: </w:t>
      </w:r>
      <w:r>
        <w:rPr>
          <w:color w:val="222222"/>
          <w:highlight w:val="white"/>
        </w:rPr>
        <w:br/>
        <w:t xml:space="preserve">w szczególności mieszkań, domów, inwestycji deweloperskich, biur czy lokali. W serwisie znajdują się zarówno oferty z rynku pierwotnego jak i wtórnego. W styczniu  2020  serwis odwiedziło ponad </w:t>
      </w:r>
      <w:r>
        <w:rPr>
          <w:color w:val="222222"/>
        </w:rPr>
        <w:t xml:space="preserve">3,9 </w:t>
      </w:r>
      <w:r>
        <w:rPr>
          <w:color w:val="222222"/>
          <w:highlight w:val="white"/>
        </w:rPr>
        <w:t xml:space="preserve">mln realnych użytkowników. Daje to Otodom pierwsze miejsce wśród serwisów specjalizujących się w ogłoszeniach nieruchomości. Dane te potwierdza niezależny audyt </w:t>
      </w:r>
      <w:proofErr w:type="spellStart"/>
      <w:r>
        <w:rPr>
          <w:color w:val="222222"/>
          <w:highlight w:val="white"/>
        </w:rPr>
        <w:t>Gemius</w:t>
      </w:r>
      <w:proofErr w:type="spellEnd"/>
      <w:r>
        <w:rPr>
          <w:color w:val="222222"/>
          <w:highlight w:val="white"/>
        </w:rPr>
        <w:t>/PBI. </w:t>
      </w:r>
    </w:p>
    <w:p w14:paraId="65FB3DAC" w14:textId="77777777" w:rsidR="006C1E34" w:rsidRDefault="00D76F27">
      <w:pPr>
        <w:spacing w:line="276" w:lineRule="auto"/>
        <w:jc w:val="both"/>
        <w:rPr>
          <w:color w:val="222222"/>
          <w:highlight w:val="white"/>
        </w:rPr>
      </w:pPr>
      <w:r>
        <w:rPr>
          <w:b/>
          <w:color w:val="222222"/>
          <w:highlight w:val="white"/>
        </w:rPr>
        <w:t>Biuro prasowe Otodom:</w:t>
      </w:r>
      <w:r>
        <w:rPr>
          <w:color w:val="222222"/>
          <w:highlight w:val="white"/>
        </w:rPr>
        <w:t xml:space="preserve"> </w:t>
      </w:r>
    </w:p>
    <w:p w14:paraId="65FB3DAE" w14:textId="39788132" w:rsidR="006C1E34" w:rsidRDefault="00D76F27">
      <w:pPr>
        <w:spacing w:line="276" w:lineRule="auto"/>
        <w:jc w:val="both"/>
        <w:rPr>
          <w:b/>
          <w:color w:val="222222"/>
          <w:highlight w:val="white"/>
        </w:rPr>
      </w:pPr>
      <w:r>
        <w:rPr>
          <w:color w:val="222222"/>
          <w:highlight w:val="white"/>
        </w:rPr>
        <w:t xml:space="preserve">Strefa prasowa: </w:t>
      </w:r>
      <w:hyperlink r:id="rId9">
        <w:r>
          <w:rPr>
            <w:b/>
            <w:color w:val="1155CC"/>
            <w:highlight w:val="white"/>
            <w:u w:val="single"/>
          </w:rPr>
          <w:t xml:space="preserve">media.otodom.pl </w:t>
        </w:r>
      </w:hyperlink>
    </w:p>
    <w:p w14:paraId="65FB3DAF" w14:textId="77777777" w:rsidR="006C1E34" w:rsidRDefault="00D76F27">
      <w:pPr>
        <w:spacing w:line="276" w:lineRule="auto"/>
        <w:jc w:val="both"/>
        <w:rPr>
          <w:color w:val="222222"/>
          <w:highlight w:val="white"/>
        </w:rPr>
      </w:pPr>
      <w:r>
        <w:rPr>
          <w:b/>
          <w:color w:val="222222"/>
          <w:highlight w:val="white"/>
        </w:rPr>
        <w:t>Więcej informacji:</w:t>
      </w:r>
      <w:r>
        <w:rPr>
          <w:color w:val="222222"/>
          <w:highlight w:val="white"/>
        </w:rPr>
        <w:t xml:space="preserve"> </w:t>
      </w:r>
    </w:p>
    <w:p w14:paraId="65FB3DB1" w14:textId="3F255994" w:rsidR="006C1E34" w:rsidRPr="00045BE1" w:rsidRDefault="00D76F27">
      <w:pPr>
        <w:spacing w:line="276" w:lineRule="auto"/>
        <w:jc w:val="both"/>
        <w:rPr>
          <w:color w:val="222222"/>
          <w:highlight w:val="white"/>
        </w:rPr>
      </w:pPr>
      <w:r>
        <w:rPr>
          <w:color w:val="222222"/>
          <w:highlight w:val="white"/>
        </w:rPr>
        <w:t xml:space="preserve">Jarosław Krawczyk, Otodom, e-mail: </w:t>
      </w:r>
      <w:hyperlink r:id="rId10">
        <w:r>
          <w:rPr>
            <w:color w:val="0000FF"/>
            <w:highlight w:val="white"/>
            <w:u w:val="single"/>
          </w:rPr>
          <w:t>jaroslaw.krawczyk@otodom.pl</w:t>
        </w:r>
      </w:hyperlink>
      <w:r>
        <w:rPr>
          <w:color w:val="222222"/>
          <w:highlight w:val="white"/>
        </w:rPr>
        <w:t xml:space="preserve">, tel. </w:t>
      </w:r>
      <w:hyperlink r:id="rId11">
        <w:r>
          <w:rPr>
            <w:color w:val="222222"/>
            <w:highlight w:val="white"/>
          </w:rPr>
          <w:t>512 068 949</w:t>
        </w:r>
      </w:hyperlink>
    </w:p>
    <w:sectPr w:rsidR="006C1E34" w:rsidRPr="00045BE1">
      <w:headerReference w:type="default" r:id="rId12"/>
      <w:pgSz w:w="11909" w:h="16834"/>
      <w:pgMar w:top="1440" w:right="1440" w:bottom="109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B1E94" w14:textId="77777777" w:rsidR="0059065B" w:rsidRDefault="0059065B">
      <w:pPr>
        <w:spacing w:after="0" w:line="240" w:lineRule="auto"/>
      </w:pPr>
      <w:r>
        <w:separator/>
      </w:r>
    </w:p>
  </w:endnote>
  <w:endnote w:type="continuationSeparator" w:id="0">
    <w:p w14:paraId="0F42B1DC"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EE61" w14:textId="77777777" w:rsidR="0059065B" w:rsidRDefault="0059065B">
      <w:pPr>
        <w:spacing w:after="0" w:line="240" w:lineRule="auto"/>
      </w:pPr>
      <w:r>
        <w:separator/>
      </w:r>
    </w:p>
  </w:footnote>
  <w:footnote w:type="continuationSeparator" w:id="0">
    <w:p w14:paraId="1B1AB567" w14:textId="77777777" w:rsidR="0059065B" w:rsidRDefault="0059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3DB2" w14:textId="77777777" w:rsidR="006C1E34" w:rsidRDefault="00D76F27">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65FB3DB3" wp14:editId="65FB3DB4">
          <wp:extent cx="1867382" cy="57072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7382" cy="5707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D1930"/>
    <w:multiLevelType w:val="multilevel"/>
    <w:tmpl w:val="1228F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34"/>
    <w:rsid w:val="0004563E"/>
    <w:rsid w:val="00045BE1"/>
    <w:rsid w:val="00421921"/>
    <w:rsid w:val="0059065B"/>
    <w:rsid w:val="006C1E34"/>
    <w:rsid w:val="00B64707"/>
    <w:rsid w:val="00D76F27"/>
    <w:rsid w:val="00FF3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3D61"/>
  <w15:docId w15:val="{AEC4A3B7-5A5E-4643-AC4E-791BAD4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CBE"/>
  </w:style>
  <w:style w:type="paragraph" w:styleId="Nagwek1">
    <w:name w:val="heading 1"/>
    <w:basedOn w:val="Normalny"/>
    <w:next w:val="Normalny"/>
    <w:link w:val="Nagwek1Znak"/>
    <w:uiPriority w:val="9"/>
    <w:qFormat/>
    <w:rsid w:val="00B10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7CBE"/>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97CB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097CBE"/>
    <w:rPr>
      <w:rFonts w:ascii="Arial" w:eastAsia="Arial" w:hAnsi="Arial" w:cs="Arial"/>
      <w:sz w:val="32"/>
      <w:szCs w:val="32"/>
      <w:lang w:val="pl" w:eastAsia="pl-PL"/>
    </w:rPr>
  </w:style>
  <w:style w:type="character" w:customStyle="1" w:styleId="TytuZnak">
    <w:name w:val="Tytuł Znak"/>
    <w:basedOn w:val="Domylnaczcionkaakapitu"/>
    <w:link w:val="Tytu"/>
    <w:uiPriority w:val="10"/>
    <w:rsid w:val="00097CBE"/>
    <w:rPr>
      <w:rFonts w:ascii="Arial" w:eastAsia="Arial" w:hAnsi="Arial" w:cs="Arial"/>
      <w:sz w:val="52"/>
      <w:szCs w:val="52"/>
      <w:lang w:val="pl" w:eastAsia="pl-PL"/>
    </w:rPr>
  </w:style>
  <w:style w:type="character" w:styleId="Odwoaniedokomentarza">
    <w:name w:val="annotation reference"/>
    <w:basedOn w:val="Domylnaczcionkaakapitu"/>
    <w:uiPriority w:val="99"/>
    <w:semiHidden/>
    <w:unhideWhenUsed/>
    <w:rsid w:val="00037291"/>
    <w:rPr>
      <w:sz w:val="16"/>
      <w:szCs w:val="16"/>
    </w:rPr>
  </w:style>
  <w:style w:type="paragraph" w:styleId="Tekstkomentarza">
    <w:name w:val="annotation text"/>
    <w:basedOn w:val="Normalny"/>
    <w:link w:val="TekstkomentarzaZnak"/>
    <w:uiPriority w:val="99"/>
    <w:semiHidden/>
    <w:unhideWhenUsed/>
    <w:rsid w:val="00037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291"/>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037291"/>
    <w:rPr>
      <w:b/>
      <w:bCs/>
    </w:rPr>
  </w:style>
  <w:style w:type="character" w:customStyle="1" w:styleId="TematkomentarzaZnak">
    <w:name w:val="Temat komentarza Znak"/>
    <w:basedOn w:val="TekstkomentarzaZnak"/>
    <w:link w:val="Tematkomentarza"/>
    <w:uiPriority w:val="99"/>
    <w:semiHidden/>
    <w:rsid w:val="00037291"/>
    <w:rPr>
      <w:rFonts w:ascii="Arial" w:eastAsia="Arial" w:hAnsi="Arial" w:cs="Arial"/>
      <w:b/>
      <w:bCs/>
      <w:sz w:val="20"/>
      <w:szCs w:val="20"/>
      <w:lang w:val="pl" w:eastAsia="pl-PL"/>
    </w:rPr>
  </w:style>
  <w:style w:type="paragraph" w:styleId="Tekstdymka">
    <w:name w:val="Balloon Text"/>
    <w:basedOn w:val="Normalny"/>
    <w:link w:val="TekstdymkaZnak"/>
    <w:uiPriority w:val="99"/>
    <w:semiHidden/>
    <w:unhideWhenUsed/>
    <w:rsid w:val="00037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7291"/>
    <w:rPr>
      <w:rFonts w:ascii="Segoe UI" w:eastAsia="Arial" w:hAnsi="Segoe UI" w:cs="Segoe UI"/>
      <w:sz w:val="18"/>
      <w:szCs w:val="18"/>
      <w:lang w:val="pl" w:eastAsia="pl-PL"/>
    </w:rPr>
  </w:style>
  <w:style w:type="paragraph" w:styleId="Nagwek">
    <w:name w:val="header"/>
    <w:basedOn w:val="Normalny"/>
    <w:link w:val="NagwekZnak"/>
    <w:uiPriority w:val="99"/>
    <w:unhideWhenUsed/>
    <w:rsid w:val="00B10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2DB"/>
    <w:rPr>
      <w:rFonts w:ascii="Arial" w:eastAsia="Arial" w:hAnsi="Arial" w:cs="Arial"/>
      <w:lang w:val="pl" w:eastAsia="pl-PL"/>
    </w:rPr>
  </w:style>
  <w:style w:type="paragraph" w:styleId="Stopka">
    <w:name w:val="footer"/>
    <w:basedOn w:val="Normalny"/>
    <w:link w:val="StopkaZnak"/>
    <w:uiPriority w:val="99"/>
    <w:unhideWhenUsed/>
    <w:rsid w:val="00B10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2DB"/>
    <w:rPr>
      <w:rFonts w:ascii="Arial" w:eastAsia="Arial" w:hAnsi="Arial" w:cs="Arial"/>
      <w:lang w:val="pl" w:eastAsia="pl-PL"/>
    </w:rPr>
  </w:style>
  <w:style w:type="character" w:customStyle="1" w:styleId="Nagwek1Znak">
    <w:name w:val="Nagłówek 1 Znak"/>
    <w:basedOn w:val="Domylnaczcionkaakapitu"/>
    <w:link w:val="Nagwek1"/>
    <w:uiPriority w:val="9"/>
    <w:rsid w:val="00B102DB"/>
    <w:rPr>
      <w:rFonts w:asciiTheme="majorHAnsi" w:eastAsiaTheme="majorEastAsia" w:hAnsiTheme="majorHAnsi" w:cstheme="majorBidi"/>
      <w:color w:val="2F5496" w:themeColor="accent1" w:themeShade="BF"/>
      <w:sz w:val="32"/>
      <w:szCs w:val="32"/>
      <w:lang w:val="pl" w:eastAsia="pl-PL"/>
    </w:rPr>
  </w:style>
  <w:style w:type="paragraph" w:styleId="Poprawka">
    <w:name w:val="Revision"/>
    <w:hidden/>
    <w:uiPriority w:val="99"/>
    <w:semiHidden/>
    <w:rsid w:val="00C366A9"/>
    <w:pPr>
      <w:spacing w:after="0" w:line="240" w:lineRule="auto"/>
    </w:pPr>
  </w:style>
  <w:style w:type="character" w:styleId="Hipercze">
    <w:name w:val="Hyperlink"/>
    <w:basedOn w:val="Domylnaczcionkaakapitu"/>
    <w:uiPriority w:val="99"/>
    <w:semiHidden/>
    <w:unhideWhenUsed/>
    <w:rsid w:val="00CF5947"/>
    <w:rPr>
      <w:color w:val="0000FF"/>
      <w:u w:val="single"/>
    </w:rPr>
  </w:style>
  <w:style w:type="character" w:styleId="Pogrubienie">
    <w:name w:val="Strong"/>
    <w:basedOn w:val="Domylnaczcionkaakapitu"/>
    <w:uiPriority w:val="22"/>
    <w:qFormat/>
    <w:rsid w:val="002A1643"/>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38672C"/>
    <w:pPr>
      <w:ind w:left="720"/>
      <w:contextualSpacing/>
    </w:pPr>
  </w:style>
  <w:style w:type="paragraph" w:styleId="Tekstprzypisukocowego">
    <w:name w:val="endnote text"/>
    <w:basedOn w:val="Normalny"/>
    <w:link w:val="TekstprzypisukocowegoZnak"/>
    <w:uiPriority w:val="99"/>
    <w:semiHidden/>
    <w:unhideWhenUsed/>
    <w:rsid w:val="00AF1B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1B29"/>
    <w:rPr>
      <w:sz w:val="20"/>
      <w:szCs w:val="20"/>
    </w:rPr>
  </w:style>
  <w:style w:type="character" w:styleId="Odwoanieprzypisukocowego">
    <w:name w:val="endnote reference"/>
    <w:basedOn w:val="Domylnaczcionkaakapitu"/>
    <w:uiPriority w:val="99"/>
    <w:semiHidden/>
    <w:unhideWhenUsed/>
    <w:rsid w:val="00AF1B29"/>
    <w:rPr>
      <w:vertAlign w:val="superscript"/>
    </w:rPr>
  </w:style>
  <w:style w:type="table" w:customStyle="1" w:styleId="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jaroslaw.krawczyk@otodom.pl" TargetMode="External"/><Relationship Id="rId4" Type="http://schemas.openxmlformats.org/officeDocument/2006/relationships/settings" Target="settings.xml"/><Relationship Id="rId9" Type="http://schemas.openxmlformats.org/officeDocument/2006/relationships/hyperlink" Target="https://media.otod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Oqt9QsEg4DY4Nv1i16W4xKoCQ==">AMUW2mVIoz2+TPs9usxvAnlijm6rYmgKN5NKs6FyVMA9lVch+SsABzUxknRhgoqyFzBYUNDULOSSazZ1+luilOUO4rQnxiE/ujcP+19nXgZl3H3fCh3TyVlJ1RSF7rmsinJp/0JXGU9A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5470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Godlewska</dc:creator>
  <cp:lastModifiedBy>Marta Godlewska</cp:lastModifiedBy>
  <cp:revision>6</cp:revision>
  <dcterms:created xsi:type="dcterms:W3CDTF">2020-05-20T17:57:00Z</dcterms:created>
  <dcterms:modified xsi:type="dcterms:W3CDTF">2020-05-25T10:17:00Z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0x0101005843F17FB4ECE2438104C7C76FC3149C</vt:lpwstr>
  </property>
</Properties>
</file>